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19E43" w14:textId="77777777" w:rsidR="00827E0A" w:rsidRDefault="00827E0A" w:rsidP="00827E0A">
      <w:pPr>
        <w:spacing w:after="0" w:line="4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27E0A">
        <w:rPr>
          <w:rFonts w:ascii="標楷體" w:eastAsia="標楷體" w:hAnsi="標楷體" w:hint="eastAsia"/>
          <w:b/>
          <w:bCs/>
          <w:sz w:val="32"/>
          <w:szCs w:val="32"/>
        </w:rPr>
        <w:t>西螺鎮孕婦及育有六歲以下兒童者停車位概況編製說明</w:t>
      </w:r>
    </w:p>
    <w:p w14:paraId="029FBE7B" w14:textId="77777777" w:rsidR="00827E0A" w:rsidRPr="00827E0A" w:rsidRDefault="00827E0A" w:rsidP="00827E0A">
      <w:pPr>
        <w:spacing w:after="0" w:line="420" w:lineRule="exact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14C3A0E3" w14:textId="55A6288E" w:rsidR="00827E0A" w:rsidRPr="00827E0A" w:rsidRDefault="00827E0A" w:rsidP="00827E0A">
      <w:pPr>
        <w:spacing w:after="0" w:line="420" w:lineRule="exact"/>
        <w:rPr>
          <w:rFonts w:ascii="標楷體" w:eastAsia="標楷體" w:hAnsi="標楷體" w:hint="eastAsia"/>
        </w:rPr>
      </w:pPr>
      <w:r w:rsidRPr="00827E0A">
        <w:rPr>
          <w:rFonts w:ascii="標楷體" w:eastAsia="標楷體" w:hAnsi="標楷體" w:hint="eastAsia"/>
        </w:rPr>
        <w:t>一、統計範圍及對象：包括本鎮轄區內之孕婦及育有六歲以下兒童者停車位，依據兒童及少年福利與權益保障法及有關法令規定辦理設置，供孕婦及育有六歲以下兒童者停放之場所為統計對象，但不包括所轄之建築物附設停車位(由縣市另報送國土管理署彙送)及風景遊樂區停車位(由縣市另報送觀光署彙送)。</w:t>
      </w:r>
    </w:p>
    <w:p w14:paraId="2FFFD4DF" w14:textId="77777777" w:rsidR="00827E0A" w:rsidRPr="00827E0A" w:rsidRDefault="00827E0A" w:rsidP="00827E0A">
      <w:pPr>
        <w:spacing w:after="0" w:line="420" w:lineRule="exact"/>
        <w:rPr>
          <w:rFonts w:ascii="標楷體" w:eastAsia="標楷體" w:hAnsi="標楷體" w:hint="eastAsia"/>
        </w:rPr>
      </w:pPr>
      <w:r w:rsidRPr="00827E0A">
        <w:rPr>
          <w:rFonts w:ascii="標楷體" w:eastAsia="標楷體" w:hAnsi="標楷體" w:hint="eastAsia"/>
        </w:rPr>
        <w:t>二、統計標準時間：以每季底之事實為</w:t>
      </w:r>
      <w:proofErr w:type="gramStart"/>
      <w:r w:rsidRPr="00827E0A">
        <w:rPr>
          <w:rFonts w:ascii="標楷體" w:eastAsia="標楷體" w:hAnsi="標楷體" w:hint="eastAsia"/>
        </w:rPr>
        <w:t>準</w:t>
      </w:r>
      <w:proofErr w:type="gramEnd"/>
      <w:r w:rsidRPr="00827E0A">
        <w:rPr>
          <w:rFonts w:ascii="標楷體" w:eastAsia="標楷體" w:hAnsi="標楷體" w:hint="eastAsia"/>
        </w:rPr>
        <w:t>。</w:t>
      </w:r>
    </w:p>
    <w:p w14:paraId="10AA1095" w14:textId="1A0D7D52" w:rsidR="00827E0A" w:rsidRPr="00827E0A" w:rsidRDefault="00827E0A" w:rsidP="00827E0A">
      <w:pPr>
        <w:spacing w:after="0" w:line="420" w:lineRule="exact"/>
        <w:rPr>
          <w:rFonts w:ascii="標楷體" w:eastAsia="標楷體" w:hAnsi="標楷體" w:hint="eastAsia"/>
        </w:rPr>
      </w:pPr>
      <w:r w:rsidRPr="00827E0A">
        <w:rPr>
          <w:rFonts w:ascii="標楷體" w:eastAsia="標楷體" w:hAnsi="標楷體" w:hint="eastAsia"/>
        </w:rPr>
        <w:t>三、分類標準：依兒童及少年福利與權益保障法所定場所類別分類：</w:t>
      </w:r>
    </w:p>
    <w:p w14:paraId="674AE2FE" w14:textId="77777777" w:rsidR="00827E0A" w:rsidRPr="00827E0A" w:rsidRDefault="00827E0A" w:rsidP="00827E0A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827E0A">
        <w:rPr>
          <w:rFonts w:ascii="標楷體" w:eastAsia="標楷體" w:hAnsi="標楷體" w:hint="eastAsia"/>
        </w:rPr>
        <w:t>(</w:t>
      </w:r>
      <w:proofErr w:type="gramStart"/>
      <w:r w:rsidRPr="00827E0A">
        <w:rPr>
          <w:rFonts w:ascii="標楷體" w:eastAsia="標楷體" w:hAnsi="標楷體" w:hint="eastAsia"/>
        </w:rPr>
        <w:t>一</w:t>
      </w:r>
      <w:proofErr w:type="gramEnd"/>
      <w:r w:rsidRPr="00827E0A">
        <w:rPr>
          <w:rFonts w:ascii="標楷體" w:eastAsia="標楷體" w:hAnsi="標楷體" w:hint="eastAsia"/>
        </w:rPr>
        <w:t>) 提供民眾申辦業務或服務之政府機關（構）及公營事業。</w:t>
      </w:r>
    </w:p>
    <w:p w14:paraId="3EF31353" w14:textId="77777777" w:rsidR="00827E0A" w:rsidRPr="00827E0A" w:rsidRDefault="00827E0A" w:rsidP="00827E0A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827E0A">
        <w:rPr>
          <w:rFonts w:ascii="標楷體" w:eastAsia="標楷體" w:hAnsi="標楷體" w:hint="eastAsia"/>
        </w:rPr>
        <w:t>(二) 鐵路車站、航空站及捷運交會</w:t>
      </w:r>
      <w:proofErr w:type="gramStart"/>
      <w:r w:rsidRPr="00827E0A">
        <w:rPr>
          <w:rFonts w:ascii="標楷體" w:eastAsia="標楷體" w:hAnsi="標楷體" w:hint="eastAsia"/>
        </w:rPr>
        <w:t>轉乘站</w:t>
      </w:r>
      <w:proofErr w:type="gramEnd"/>
      <w:r w:rsidRPr="00827E0A">
        <w:rPr>
          <w:rFonts w:ascii="標楷體" w:eastAsia="標楷體" w:hAnsi="標楷體" w:hint="eastAsia"/>
        </w:rPr>
        <w:t>。</w:t>
      </w:r>
    </w:p>
    <w:p w14:paraId="0E3923F5" w14:textId="77777777" w:rsidR="00827E0A" w:rsidRPr="00827E0A" w:rsidRDefault="00827E0A" w:rsidP="00827E0A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827E0A">
        <w:rPr>
          <w:rFonts w:ascii="標楷體" w:eastAsia="標楷體" w:hAnsi="標楷體" w:hint="eastAsia"/>
        </w:rPr>
        <w:t>(三) 營業場所總樓地板面積一萬平方公尺以上之百貨公司及</w:t>
      </w:r>
      <w:proofErr w:type="gramStart"/>
      <w:r w:rsidRPr="00827E0A">
        <w:rPr>
          <w:rFonts w:ascii="標楷體" w:eastAsia="標楷體" w:hAnsi="標楷體" w:hint="eastAsia"/>
        </w:rPr>
        <w:t>零售式量販</w:t>
      </w:r>
      <w:proofErr w:type="gramEnd"/>
      <w:r w:rsidRPr="00827E0A">
        <w:rPr>
          <w:rFonts w:ascii="標楷體" w:eastAsia="標楷體" w:hAnsi="標楷體" w:hint="eastAsia"/>
        </w:rPr>
        <w:t>店。</w:t>
      </w:r>
    </w:p>
    <w:p w14:paraId="41252873" w14:textId="77777777" w:rsidR="00827E0A" w:rsidRPr="00827E0A" w:rsidRDefault="00827E0A" w:rsidP="00827E0A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827E0A">
        <w:rPr>
          <w:rFonts w:ascii="標楷體" w:eastAsia="標楷體" w:hAnsi="標楷體" w:hint="eastAsia"/>
        </w:rPr>
        <w:t>(四) 設有兒科病房或產科病房之區域級以上醫院。</w:t>
      </w:r>
    </w:p>
    <w:p w14:paraId="498D9154" w14:textId="77777777" w:rsidR="00827E0A" w:rsidRPr="00827E0A" w:rsidRDefault="00827E0A" w:rsidP="00827E0A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827E0A">
        <w:rPr>
          <w:rFonts w:ascii="標楷體" w:eastAsia="標楷體" w:hAnsi="標楷體" w:hint="eastAsia"/>
        </w:rPr>
        <w:t>(五) 觀光遊樂業之園區。</w:t>
      </w:r>
    </w:p>
    <w:p w14:paraId="570D1D47" w14:textId="77777777" w:rsidR="00827E0A" w:rsidRPr="00827E0A" w:rsidRDefault="00827E0A" w:rsidP="00827E0A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827E0A">
        <w:rPr>
          <w:rFonts w:ascii="標楷體" w:eastAsia="標楷體" w:hAnsi="標楷體" w:hint="eastAsia"/>
        </w:rPr>
        <w:t>(六) 其他經各級交通主管機關公告之場所。</w:t>
      </w:r>
    </w:p>
    <w:p w14:paraId="2D291DDC" w14:textId="77777777" w:rsidR="00827E0A" w:rsidRPr="00827E0A" w:rsidRDefault="00827E0A" w:rsidP="00827E0A">
      <w:pPr>
        <w:spacing w:after="0" w:line="420" w:lineRule="exact"/>
        <w:rPr>
          <w:rFonts w:ascii="標楷體" w:eastAsia="標楷體" w:hAnsi="標楷體" w:hint="eastAsia"/>
        </w:rPr>
      </w:pPr>
      <w:r w:rsidRPr="00827E0A">
        <w:rPr>
          <w:rFonts w:ascii="標楷體" w:eastAsia="標楷體" w:hAnsi="標楷體" w:hint="eastAsia"/>
        </w:rPr>
        <w:t>四、統計項目定義：</w:t>
      </w:r>
    </w:p>
    <w:p w14:paraId="1D6B5E6F" w14:textId="77777777" w:rsidR="00827E0A" w:rsidRPr="00827E0A" w:rsidRDefault="00827E0A" w:rsidP="00827E0A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827E0A">
        <w:rPr>
          <w:rFonts w:ascii="標楷體" w:eastAsia="標楷體" w:hAnsi="標楷體" w:hint="eastAsia"/>
        </w:rPr>
        <w:t>(</w:t>
      </w:r>
      <w:proofErr w:type="gramStart"/>
      <w:r w:rsidRPr="00827E0A">
        <w:rPr>
          <w:rFonts w:ascii="標楷體" w:eastAsia="標楷體" w:hAnsi="標楷體" w:hint="eastAsia"/>
        </w:rPr>
        <w:t>一</w:t>
      </w:r>
      <w:proofErr w:type="gramEnd"/>
      <w:r w:rsidRPr="00827E0A">
        <w:rPr>
          <w:rFonts w:ascii="標楷體" w:eastAsia="標楷體" w:hAnsi="標楷體" w:hint="eastAsia"/>
        </w:rPr>
        <w:t>) 法定應設孕婦及育有六歲以下兒童者停車位：指依兒童及少年福利與權益保障法應設置之孕婦及育有六歲以下</w:t>
      </w:r>
    </w:p>
    <w:p w14:paraId="3B12962D" w14:textId="77777777" w:rsidR="00827E0A" w:rsidRPr="00827E0A" w:rsidRDefault="00827E0A" w:rsidP="00827E0A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827E0A">
        <w:rPr>
          <w:rFonts w:ascii="標楷體" w:eastAsia="標楷體" w:hAnsi="標楷體" w:hint="eastAsia"/>
        </w:rPr>
        <w:t>兒童者停車位數量。</w:t>
      </w:r>
    </w:p>
    <w:p w14:paraId="53180B9F" w14:textId="77777777" w:rsidR="00827E0A" w:rsidRPr="00827E0A" w:rsidRDefault="00827E0A" w:rsidP="00827E0A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827E0A">
        <w:rPr>
          <w:rFonts w:ascii="標楷體" w:eastAsia="標楷體" w:hAnsi="標楷體" w:hint="eastAsia"/>
        </w:rPr>
        <w:t>(二) 已設置孕婦及育有六歲以下兒童者停車位：指實際已設置之孕婦及育有六歲以下兒童者停車位數量。</w:t>
      </w:r>
    </w:p>
    <w:p w14:paraId="5C82B358" w14:textId="77777777" w:rsidR="00827E0A" w:rsidRPr="00827E0A" w:rsidRDefault="00827E0A" w:rsidP="00827E0A">
      <w:pPr>
        <w:spacing w:after="0" w:line="420" w:lineRule="exact"/>
        <w:rPr>
          <w:rFonts w:ascii="標楷體" w:eastAsia="標楷體" w:hAnsi="標楷體" w:hint="eastAsia"/>
        </w:rPr>
      </w:pPr>
      <w:r w:rsidRPr="00827E0A">
        <w:rPr>
          <w:rFonts w:ascii="標楷體" w:eastAsia="標楷體" w:hAnsi="標楷體" w:hint="eastAsia"/>
        </w:rPr>
        <w:t>五、資料蒐集方法及編製程序：由本所辦理停車位統計之單位，依據原始資料分別統計彙編。</w:t>
      </w:r>
    </w:p>
    <w:p w14:paraId="33735F32" w14:textId="1D2715FB" w:rsidR="002E55F6" w:rsidRPr="00827E0A" w:rsidRDefault="00827E0A" w:rsidP="00827E0A">
      <w:pPr>
        <w:spacing w:after="0" w:line="420" w:lineRule="exact"/>
        <w:rPr>
          <w:rFonts w:ascii="標楷體" w:eastAsia="標楷體" w:hAnsi="標楷體"/>
        </w:rPr>
      </w:pPr>
      <w:r w:rsidRPr="00827E0A">
        <w:rPr>
          <w:rFonts w:ascii="標楷體" w:eastAsia="標楷體" w:hAnsi="標楷體" w:hint="eastAsia"/>
        </w:rPr>
        <w:t>六、編送對象：</w:t>
      </w:r>
      <w:proofErr w:type="gramStart"/>
      <w:r w:rsidRPr="00827E0A">
        <w:rPr>
          <w:rFonts w:ascii="標楷體" w:eastAsia="標楷體" w:hAnsi="標楷體" w:hint="eastAsia"/>
        </w:rPr>
        <w:t>本表編製</w:t>
      </w:r>
      <w:proofErr w:type="gramEnd"/>
      <w:r w:rsidRPr="00827E0A">
        <w:rPr>
          <w:rFonts w:ascii="標楷體" w:eastAsia="標楷體" w:hAnsi="標楷體" w:hint="eastAsia"/>
        </w:rPr>
        <w:t>3份，1份送雲林縣交通工務局，1份送主計室，1份自存</w:t>
      </w:r>
    </w:p>
    <w:sectPr w:rsidR="002E55F6" w:rsidRPr="00827E0A" w:rsidSect="00827E0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38"/>
    <w:rsid w:val="00166938"/>
    <w:rsid w:val="002B1357"/>
    <w:rsid w:val="002E55F6"/>
    <w:rsid w:val="005B61F4"/>
    <w:rsid w:val="00807A51"/>
    <w:rsid w:val="0082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4425B"/>
  <w15:chartTrackingRefBased/>
  <w15:docId w15:val="{E388571F-25F2-47D5-AB2A-30A7052E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93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93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93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93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93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93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669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66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6693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66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6693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6693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6693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6693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669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6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66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66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66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9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669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669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使用者02</dc:creator>
  <cp:keywords/>
  <dc:description/>
  <cp:lastModifiedBy>使用者02</cp:lastModifiedBy>
  <cp:revision>2</cp:revision>
  <dcterms:created xsi:type="dcterms:W3CDTF">2025-01-17T09:06:00Z</dcterms:created>
  <dcterms:modified xsi:type="dcterms:W3CDTF">2025-01-17T09:07:00Z</dcterms:modified>
</cp:coreProperties>
</file>